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Please use your Agency Letterhead and include your Agency policy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Replace all red information using your Agency information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(Date)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Honorable NAME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Governor of Arizona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ATTN: Governor’s Office of Equal Opportunity (GOEO)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1700 West Washington, Suite 156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Phoenix, Arizona  85007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Dear Governor NAME: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(Agency)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hereby submits its Equal Employment Opportunity Report for the year 20XX.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report reflects our continuing commitment to ensure all individuals have equal access to employment opportunities within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(Agency)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that all employees enjoy a working environment free from discrimination, harassment and retaliation. 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(Agency)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continues its commitment to being an equal opportunity employer.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can be assured I am fully committed to strive to meet the objectives outlined in our Equal Employment Opportunity Plan.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there are any questions regarding this report, please contact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(Agency’s)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EEO Liaison,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(Name of Equal Opportunity Administrator)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at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(Telephone number)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or you may reach me at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(Telephone number)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Sincerely,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(Name of Agency Head)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(Title)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terAANXjB2l2UTQBNhlEeXqbQ==">CgMxLjA4AHIhMVhHTXRfNzBBSGJ5Qy1jaFB4VDZsMW5LLXpMN2tqY2Jl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